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5"/>
        <w:gridCol w:w="2180"/>
        <w:gridCol w:w="2361"/>
        <w:gridCol w:w="2571"/>
      </w:tblGrid>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CIVILINĖS ATSAKOMYBĖS DRAUDIMO PASLAUGOS</w:t>
            </w:r>
          </w:p>
        </w:tc>
      </w:tr>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pPr>
            <w:r>
              <w:rPr>
                <w:rStyle w:val="normaltextrun"/>
                <w:lang w:val="lt-LT"/>
              </w:rPr>
              <w:t>Registracijos adresas: Pramonės pr. 11A-9, 51327 Kaunas</w:t>
            </w:r>
          </w:p>
          <w:p>
            <w:pPr>
              <w:pStyle w:val="Normal"/>
              <w:jc w:val="center"/>
              <w:rPr/>
            </w:pPr>
            <w:r>
              <w:rPr>
                <w:rStyle w:val="normaltextrun"/>
                <w:szCs w:val="24"/>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Style w:val="normaltextrun"/>
                <w:szCs w:val="24"/>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Style w:val="normaltextrun"/>
                <w:szCs w:val="24"/>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pPr>
            <w:r>
              <w:rPr>
                <w:rStyle w:val="normaltextrun"/>
              </w:rPr>
              <w:t>AB SEB bankas,</w:t>
            </w:r>
          </w:p>
          <w:p>
            <w:pPr>
              <w:pStyle w:val="Normal"/>
              <w:jc w:val="center"/>
              <w:rPr/>
            </w:pPr>
            <w:r>
              <w:rPr>
                <w:rStyle w:val="normaltextrun"/>
                <w:szCs w:val="24"/>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Style w:val="normaltextrun"/>
                <w:szCs w:val="24"/>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hyperlink r:id="rId2" w:tgtFrame="_blank">
              <w:r>
                <w:rPr>
                  <w:rStyle w:val="ListLabel1"/>
                  <w:color w:val="0000FF"/>
                  <w:szCs w:val="24"/>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63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6"/>
        <w:gridCol w:w="38"/>
        <w:gridCol w:w="2129"/>
        <w:gridCol w:w="4412"/>
      </w:tblGrid>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Tiekėjas įsipareigoja Sutartyje numatytomis sąlygomis suteikti Pirkėju</w:t>
            </w:r>
            <w:r>
              <w:rPr>
                <w:color w:val="000000"/>
                <w:kern w:val="2"/>
                <w:szCs w:val="24"/>
              </w:rPr>
              <w:t>i įmonės direktorių ir vadovų civilinės atsakomybės draudimo paslaugas (toliau – Paslaugos).</w:t>
            </w:r>
          </w:p>
          <w:p>
            <w:pPr>
              <w:pStyle w:val="Normal"/>
              <w:rPr>
                <w:color w:val="000000"/>
                <w:kern w:val="2"/>
                <w:szCs w:val="24"/>
              </w:rPr>
            </w:pPr>
            <w:r>
              <w:rPr>
                <w:color w:val="000000"/>
                <w:kern w:val="2"/>
                <w:szCs w:val="24"/>
              </w:rPr>
              <w:t>Išsamus Paslaugų aprašymas ir kiti reikalavimai teikiamoms Paslaugoms nustatyti Sutarties priede Nr. 1 „Techninė specifikacija“ (toliau – Techninė specifikacija) ir Sutarties priede Nr. 2 „Pasiūlymas“.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rPr>
              <w:t xml:space="preserve">4.1. </w:t>
            </w:r>
            <w:r>
              <w:rPr>
                <w:b/>
                <w:color w:val="000000"/>
                <w:szCs w:val="24"/>
              </w:rPr>
              <w:t>Paslaugų</w:t>
            </w:r>
            <w:r>
              <w:rPr>
                <w:b/>
                <w:color w:val="000000"/>
                <w:kern w:val="2"/>
                <w:szCs w:val="24"/>
              </w:rPr>
              <w:t xml:space="preserve"> </w:t>
            </w:r>
            <w:r>
              <w:rPr>
                <w:b/>
                <w:color w:val="000000"/>
                <w:szCs w:val="24"/>
              </w:rPr>
              <w:t>suteikimo</w:t>
            </w:r>
            <w:r>
              <w:rPr>
                <w:b/>
                <w:color w:val="000000"/>
                <w:kern w:val="2"/>
                <w:szCs w:val="24"/>
              </w:rPr>
              <w:t xml:space="preserve"> terminas, kai </w:t>
            </w:r>
            <w:r>
              <w:rPr>
                <w:b/>
                <w:color w:val="000000"/>
                <w:szCs w:val="24"/>
              </w:rPr>
              <w:t>Paslaugos yra vienkartinio pobūdžio, teikiamos periodiškai arba pagal Pirkėjo Užsakymą</w:t>
            </w:r>
          </w:p>
          <w:p>
            <w:pPr>
              <w:pStyle w:val="Normal"/>
              <w:rPr>
                <w:b/>
                <w:color w:val="000000"/>
                <w:kern w:val="2"/>
                <w:szCs w:val="24"/>
              </w:rPr>
            </w:pPr>
            <w:r>
              <w:rPr>
                <w:b/>
                <w:color w:val="000000"/>
                <w:kern w:val="2"/>
                <w:szCs w:val="24"/>
              </w:rPr>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szCs w:val="24"/>
              </w:rPr>
              <w:t xml:space="preserve">Tiekėjas draudimo Paslaugas įsipareigoja teikti </w:t>
            </w:r>
            <w:r>
              <w:rPr>
                <w:b/>
                <w:bCs/>
                <w:color w:val="000000"/>
                <w:szCs w:val="24"/>
              </w:rPr>
              <w:t xml:space="preserve">nuo 2026 m. balandžio 18 d. 00 val. 00 min. </w:t>
            </w:r>
            <w:r>
              <w:rPr>
                <w:b/>
                <w:color w:val="000000"/>
                <w:szCs w:val="24"/>
              </w:rPr>
              <w:t xml:space="preserve">iki 2027 m. balandžio 17 d. </w:t>
            </w:r>
            <w:r>
              <w:rPr>
                <w:b/>
                <w:color w:val="000000"/>
                <w:szCs w:val="24"/>
              </w:rPr>
              <w:t>23</w:t>
            </w:r>
            <w:r>
              <w:rPr>
                <w:b/>
                <w:color w:val="000000"/>
                <w:szCs w:val="24"/>
              </w:rPr>
              <w:t xml:space="preserve"> val. </w:t>
            </w:r>
            <w:r>
              <w:rPr>
                <w:b/>
                <w:color w:val="000000"/>
                <w:szCs w:val="24"/>
              </w:rPr>
              <w:t>59</w:t>
            </w:r>
            <w:r>
              <w:rPr>
                <w:b/>
                <w:color w:val="000000"/>
                <w:szCs w:val="24"/>
              </w:rPr>
              <w:t xml:space="preserve"> min.</w:t>
            </w:r>
          </w:p>
          <w:p>
            <w:pPr>
              <w:pStyle w:val="Normal"/>
              <w:rPr>
                <w:color w:val="000000"/>
              </w:rPr>
            </w:pPr>
            <w:r>
              <w:rPr>
                <w:color w:val="000000"/>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tc>
      </w:tr>
      <w:tr>
        <w:trPr>
          <w:trHeight w:val="3341"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Turi būti pateikiami</w:t>
            </w:r>
            <w:r>
              <w:rPr>
                <w:color w:val="000000"/>
                <w:kern w:val="2"/>
                <w:szCs w:val="24"/>
              </w:rPr>
              <w:t xml:space="preserve"> šie dokumentai: Draudimo liudijimas (polisas) ir Sąskaita. Tie</w:t>
            </w:r>
            <w:r>
              <w:rPr>
                <w:kern w:val="2"/>
                <w:szCs w:val="24"/>
              </w:rPr>
              <w:t>kėjui nepateikus nurodytų dokumentų, laikoma, kad Paslaugos neatitinka Sutartyje nustatytų reikalavimų.</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Fiksuotos kainos kainodara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pPr>
              <w:pStyle w:val="Normal"/>
              <w:rPr>
                <w:color w:val="000000"/>
              </w:rPr>
            </w:pPr>
            <w:r>
              <w:rPr>
                <w:color w:val="000000"/>
                <w:kern w:val="2"/>
                <w:szCs w:val="24"/>
              </w:rPr>
              <w:t>Šioje Sutartyje Pradinės Sutarties vertė yra lygi Tiekėjo pasiūlymo kainai be PVM, nurodytai už visą pirkimo dokumentuose ir Sutartyje nurodytą Paslaugų kiekį ir (ar) apimtį.</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
                <w:kern w:val="2"/>
                <w:szCs w:val="24"/>
              </w:rPr>
              <w:t>5.3.3. Sutarties kainos / įkainių peržiūra dėl kainų lygio pokyčio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color w:val="000000"/>
                <w:kern w:val="2"/>
                <w:szCs w:val="24"/>
                <w:shd w:fill="FFFFFF" w:val="clear"/>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rPr>
              <w:t>5.5. Atsiskaitymo su Tiekėju terminas ir tvarka</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 xml:space="preserve">Pirkėjas atsiskaito su Tiekėju ne vėliau kaip per </w:t>
            </w:r>
            <w:r>
              <w:rPr>
                <w:color w:val="000000"/>
                <w:kern w:val="2"/>
                <w:szCs w:val="24"/>
                <w:shd w:fill="FFFFFF" w:val="clear"/>
              </w:rPr>
              <w:t xml:space="preserve">30 (trisdešimt) kalendorinių dienų </w:t>
            </w:r>
            <w:r>
              <w:rPr>
                <w:color w:val="000000"/>
                <w:kern w:val="2"/>
                <w:szCs w:val="24"/>
              </w:rPr>
              <w:t>nuo Sąskaitos gavimo dienos.</w:t>
            </w:r>
          </w:p>
          <w:p>
            <w:pPr>
              <w:pStyle w:val="Normal"/>
              <w:rPr>
                <w:color w:val="000000"/>
                <w:kern w:val="2"/>
                <w:szCs w:val="24"/>
                <w:shd w:fill="FFFFFF" w:val="clear"/>
              </w:rPr>
            </w:pPr>
            <w:r>
              <w:rPr>
                <w:color w:val="000000"/>
                <w:kern w:val="2"/>
                <w:szCs w:val="24"/>
                <w:shd w:fill="FFFFFF" w:val="clear"/>
              </w:rPr>
            </w:r>
          </w:p>
          <w:p>
            <w:pPr>
              <w:pStyle w:val="Normal"/>
              <w:rPr>
                <w:color w:val="000000"/>
              </w:rPr>
            </w:pPr>
            <w:r>
              <w:rPr>
                <w:color w:val="000000"/>
                <w:kern w:val="2"/>
                <w:szCs w:val="24"/>
                <w:shd w:fill="FFFFFF" w:val="clear"/>
              </w:rPr>
              <w:t>Apmokėjimo sąlygos: išduotą Draudimo liudijimą (polisą) po Sąskaitos (priminimo apie įmokos mokėjimą) priėmimo informacinės sistemos SABIS priemonėmis dienos, sumokama visa Sutarties kaina.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6.3. Kokybinių kriterijų įgyvendinimo ir tikrinimo tvarka</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pPr>
              <w:pStyle w:val="Normal"/>
              <w:rPr>
                <w:kern w:val="2"/>
                <w:szCs w:val="24"/>
              </w:rPr>
            </w:pPr>
            <w:r>
              <w:rPr>
                <w:kern w:val="2"/>
                <w:szCs w:val="24"/>
              </w:rPr>
              <w:t>Netesybomis (delspinigiais, bauda).</w:t>
            </w:r>
            <w:r>
              <w:rPr>
                <w:color w:val="4472C4"/>
                <w:kern w:val="2"/>
                <w:szCs w:val="24"/>
              </w:rPr>
              <w:t>.</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be PVM.</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color w:val="000000"/>
                <w:szCs w:val="24"/>
              </w:rPr>
              <w:t xml:space="preserve">9.2.1. Jeigu Tiekėjas vėluoja </w:t>
            </w:r>
            <w:r>
              <w:rPr>
                <w:szCs w:val="24"/>
              </w:rPr>
              <w:t xml:space="preserve">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rPr>
                <w:bCs/>
                <w:kern w:val="2"/>
                <w:szCs w:val="24"/>
              </w:rPr>
              <w:t>maksimalią delspinigių skaičiavimo ribą nustatant 20 (dvidešimt) procentų, skaičiuojamų nuo pradinės Sutarties vertės be PVM.</w:t>
            </w:r>
          </w:p>
          <w:p>
            <w:pPr>
              <w:pStyle w:val="Normal"/>
              <w:jc w:val="both"/>
              <w:rPr>
                <w:szCs w:val="24"/>
              </w:rPr>
            </w:pPr>
            <w:r>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jc w:val="both"/>
              <w:rPr>
                <w:szCs w:val="24"/>
              </w:rPr>
            </w:pPr>
            <w:r>
              <w:rPr>
                <w:kern w:val="2"/>
                <w:szCs w:val="24"/>
              </w:rPr>
              <w:t xml:space="preserve">9.2.3. Tiekėjas privalo sumokėti Pirkėjui netesybas per 30 (trisdešimt ) kalendorinių dienų nuo Pirkėjo pareikalavimo, jeigu netesybų suma nėra </w:t>
            </w:r>
            <w:r>
              <w:rPr>
                <w:szCs w:val="24"/>
              </w:rPr>
              <w:t>išskaitoma iš Tiekėjui mokėtinos sumos.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rPr>
              <w:t>9.3. Tiekėjui / Pirkėjui taikoma bauda nutraukus Sutartį dėl esminio Sutarties pažeidimo ar nepagrįstai nutraukus Sutarties vykdymą ne Sutartyje nustatyta tvarka</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rPr>
              <w:t>9.6. Tiekėjui / Pirkėjui taikoma bauda dėl konfidencialumo reikalavimų nesilaikymo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rPr>
              <w:t>9.7. Tiekėjui taikomos netesybos dėl pirkimo dokumentuose nustatytų Kokybinių kriterijų nepasiekimo Sutarties vykdymo metu</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bCs/>
                <w:color w:val="4472C4"/>
                <w:szCs w:val="24"/>
              </w:rPr>
            </w:pPr>
            <w:r>
              <w:rPr>
                <w:bCs/>
                <w:szCs w:val="24"/>
              </w:rPr>
              <w:t>Netaikoma</w:t>
            </w:r>
          </w:p>
        </w:tc>
      </w:tr>
      <w:tr>
        <w:trPr>
          <w:trHeight w:val="156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szCs w:val="24"/>
              </w:rPr>
              <w:t>nepratęsimo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szCs w:val="24"/>
              </w:rPr>
              <w:t>9.9. Tiekėjui taikoma bauda dėl Pirkėjo simbolių, pavadinimo ir ženklo reklamoje ar rinkodaroje naudojimo reikalavimų nesilaikymo bei draudimo naudotis Pirkėjo sukurtais</w:t>
            </w:r>
            <w:r>
              <w:rPr>
                <w:bCs/>
                <w:color w:val="000000"/>
                <w:szCs w:val="24"/>
              </w:rPr>
              <w:t xml:space="preserve"> </w:t>
            </w:r>
            <w:r>
              <w:rPr>
                <w:b/>
                <w:color w:val="000000"/>
                <w:szCs w:val="24"/>
              </w:rPr>
              <w:t>intelektiniais veiklos rezultatais nesilaikymo</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lang w:val="en-US"/>
              </w:rPr>
              <w:t xml:space="preserve">9.10. </w:t>
            </w:r>
            <w:r>
              <w:rPr>
                <w:b/>
                <w:color w:val="000000"/>
                <w:kern w:val="2"/>
                <w:szCs w:val="24"/>
              </w:rPr>
              <w:t>Kitos netesybos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lang w:val="lt-LT"/>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highlight w:val="none"/>
                <w:shd w:fill="auto" w:val="clear"/>
              </w:rPr>
            </w:pPr>
            <w:r>
              <w:rPr>
                <w:b/>
                <w:szCs w:val="24"/>
                <w:shd w:fill="auto" w:val="clear"/>
              </w:rPr>
              <w:t>11.1. Sutarties sudarymas ir įsigaliojimas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highlight w:val="none"/>
                <w:shd w:fill="auto" w:val="clear"/>
              </w:rPr>
            </w:pPr>
            <w:r>
              <w:rPr>
                <w:kern w:val="2"/>
                <w:szCs w:val="24"/>
                <w:shd w:fill="auto" w:val="clear"/>
              </w:rPr>
              <w:t>Ši Sutartis laikoma sudaryta, kai (pirma) ją pasirašo abi Šalys, ir (antra) nustatyta tvarka užregistravus.</w:t>
            </w:r>
          </w:p>
          <w:p>
            <w:pPr>
              <w:pStyle w:val="Normal"/>
              <w:rPr>
                <w:highlight w:val="none"/>
                <w:shd w:fill="auto" w:val="clear"/>
              </w:rPr>
            </w:pPr>
            <w:r>
              <w:rPr>
                <w:kern w:val="2"/>
                <w:szCs w:val="24"/>
                <w:shd w:fill="auto" w:val="clear"/>
              </w:rPr>
              <w:t>Sutartis galioja iki visiško Sutartinių įsipareigojimų įvykdymo ar Sutarties nutraukimo, bet jos terminas negali būti ilgesnis kaip 15 (penkiolika) mėnesių.</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54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nustatyta tvarka.</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w:t>
            </w:r>
            <w:r>
              <w:rPr>
                <w:color w:val="000000"/>
                <w:kern w:val="2"/>
                <w:szCs w:val="24"/>
              </w:rPr>
              <w:t>us</w:t>
            </w:r>
            <w:r>
              <w:rPr>
                <w:color w:val="000000"/>
                <w:kern w:val="2"/>
                <w:szCs w:val="24"/>
              </w:rPr>
              <w:t xml:space="preserve"> Sutarties įkainius;</w:t>
            </w:r>
          </w:p>
          <w:p>
            <w:pPr>
              <w:pStyle w:val="Normal"/>
              <w:rPr>
                <w:color w:val="000000"/>
              </w:rPr>
            </w:pPr>
            <w:r>
              <w:rPr>
                <w:color w:val="000000"/>
                <w:szCs w:val="24"/>
              </w:rPr>
              <w:t xml:space="preserve">12.2.2. </w:t>
            </w:r>
            <w:r>
              <w:rPr>
                <w:rFonts w:eastAsia="Arial"/>
                <w:color w:val="000000"/>
                <w:kern w:val="2"/>
                <w:szCs w:val="24"/>
              </w:rPr>
              <w:t>jeigu Tiekėjas nesilaiko Sutartyje nustatytų Paslaugų teikimo terminų 2 (du) kartus iš eilės arba vėluoja suteikti Paslaugas daugiau nei 30 (trisdešimt) kalendorinių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12.2.6. Tiekėjas pažeidžia šios Sutarties nuostatas, reglamentuojančias konkurenciją, intelektinės nuosavybės ar konfidencialios informacijos valdymą</w:t>
            </w:r>
            <w:r>
              <w:rPr>
                <w:rFonts w:eastAsia="Arial"/>
                <w:color w:val="000000"/>
                <w:kern w:val="2"/>
                <w:szCs w:val="24"/>
                <w:lang w:val="lt-LT"/>
              </w:rPr>
              <w:t>.</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Aplinkosauginiai kriterijai P</w:t>
            </w:r>
            <w:r>
              <w:rPr>
                <w:color w:val="000000"/>
                <w:kern w:val="2"/>
                <w:szCs w:val="24"/>
                <w:shd w:fill="FFFFFF" w:val="clear"/>
              </w:rPr>
              <w:t>aslaugoms</w:t>
            </w:r>
            <w:r>
              <w:rPr>
                <w:color w:val="000000"/>
                <w:kern w:val="2"/>
                <w:szCs w:val="24"/>
                <w:shd w:fill="FFFFFF" w:val="clear"/>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Šalys susitaria papildyti Sutarties Bendrųjų sąlygų 3.1. punktą nurodytais punktais, tačiau kitų punktų numeracijos nekeisti:</w:t>
            </w:r>
          </w:p>
          <w:p>
            <w:pPr>
              <w:pStyle w:val="Normal"/>
              <w:jc w:val="both"/>
              <w:rPr/>
            </w:pPr>
            <w:r>
              <w:rPr/>
              <w:t xml:space="preserve">3.1.4.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3">
              <w:r>
                <w:rPr>
                  <w:rStyle w:val="Hyperlink"/>
                  <w:b/>
                  <w:bCs/>
                </w:rPr>
                <w:t>https://vmu.lt/wp-content/uploads/2021/08/Antikorupcine-politika.pdf</w:t>
              </w:r>
            </w:hyperlink>
            <w:r>
              <w:rPr/>
              <w:t>;</w:t>
            </w:r>
          </w:p>
          <w:p>
            <w:pPr>
              <w:pStyle w:val="Normal"/>
              <w:jc w:val="both"/>
              <w:rPr/>
            </w:pPr>
            <w:r>
              <w:rPr/>
              <w:t xml:space="preserve">3.1.5. Dovanų politika – dokumentas, kuriuo apibrėžiamos valstybės įmonės Valstybinių miškų urėdijos darbuotojų elgesio su dovanomis ir neteisėtu atlygiu principinės nuostatos. Su dokumentu galima susipažinti </w:t>
            </w:r>
            <w:hyperlink r:id="rId4">
              <w:r>
                <w:rPr>
                  <w:rStyle w:val="Hyperlink"/>
                  <w:b/>
                  <w:bCs/>
                </w:rPr>
                <w:t>https://vmu.lt/wp-content/uploads/2022/09/Dovanu-politika1.pdf</w:t>
              </w:r>
            </w:hyperlink>
            <w:r>
              <w:rPr/>
              <w:t>;</w:t>
            </w:r>
          </w:p>
          <w:p>
            <w:pPr>
              <w:pStyle w:val="Normal"/>
              <w:jc w:val="both"/>
              <w:rPr>
                <w:kern w:val="2"/>
                <w:szCs w:val="24"/>
              </w:rPr>
            </w:pPr>
            <w:r>
              <w:rPr>
                <w:kern w:val="2"/>
                <w:szCs w:val="24"/>
              </w:rPr>
              <w:t xml:space="preserve">3.1.6.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5">
              <w:r>
                <w:rPr>
                  <w:rStyle w:val="Hyperlink"/>
                  <w:b/>
                  <w:bCs/>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3.1.7.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pPr>
              <w:pStyle w:val="Normal"/>
              <w:jc w:val="both"/>
              <w:rPr>
                <w:kern w:val="2"/>
                <w:szCs w:val="24"/>
              </w:rPr>
            </w:pPr>
            <w:r>
              <w:rPr>
                <w:kern w:val="2"/>
                <w:szCs w:val="24"/>
              </w:rPr>
              <w:t>3.1.8.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3.1.9.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3.1.10.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3.1.11.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aukščiau nurodytų aplinkybių atsiradimą“.</w:t>
            </w:r>
          </w:p>
          <w:p>
            <w:pPr>
              <w:pStyle w:val="Normal"/>
              <w:jc w:val="both"/>
              <w:rPr>
                <w:kern w:val="2"/>
                <w:szCs w:val="24"/>
              </w:rPr>
            </w:pPr>
            <w:r>
              <w:rPr>
                <w:kern w:val="2"/>
                <w:szCs w:val="24"/>
              </w:rPr>
              <w:t>Šalys susitaria papildyti Sutarties Bendrąsias sąlygas nurodytu punktu:</w:t>
            </w:r>
          </w:p>
          <w:p>
            <w:pPr>
              <w:pStyle w:val="Normal"/>
              <w:jc w:val="both"/>
              <w:rPr>
                <w:kern w:val="2"/>
                <w:szCs w:val="24"/>
              </w:rPr>
            </w:pPr>
            <w:r>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jc w:val="both"/>
              <w:rPr>
                <w:i w:val="false"/>
                <w:i w:val="false"/>
                <w:iCs w:val="false"/>
              </w:rPr>
            </w:pPr>
            <w:r>
              <w:rPr>
                <w:i w:val="false"/>
                <w:iCs w:val="false"/>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Techninės specifikacija</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Tiekėjo pasiūlymas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Bendrosios sąlygos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Įsipareigojimas neatskleisti konfidencialios informacijos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15.5. Priedas Nr. 5</w:t>
            </w:r>
          </w:p>
        </w:tc>
        <w:tc>
          <w:tcPr>
            <w:tcW w:w="6579" w:type="dxa"/>
            <w:gridSpan w:val="3"/>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Draudimo liudijimas (polisas) Nr. (nurodyti Draudimo liudijimo (poliso) Nr.);</w:t>
            </w:r>
          </w:p>
        </w:tc>
      </w:tr>
      <w:tr>
        <w:trPr>
          <w:trHeight w:val="300" w:hRule="atLeast"/>
        </w:trPr>
        <w:tc>
          <w:tcPr>
            <w:tcW w:w="3056" w:type="dxa"/>
            <w:tcBorders>
              <w:left w:val="single" w:sz="4" w:space="0" w:color="000000"/>
              <w:bottom w:val="single" w:sz="4" w:space="0" w:color="000000"/>
              <w:right w:val="single" w:sz="4" w:space="0" w:color="000000"/>
            </w:tcBorders>
          </w:tcPr>
          <w:p>
            <w:pPr>
              <w:pStyle w:val="Normal"/>
              <w:jc w:val="center"/>
              <w:rPr>
                <w:b/>
                <w:bCs/>
              </w:rPr>
            </w:pPr>
            <w:r>
              <w:rPr>
                <w:b/>
                <w:bCs/>
              </w:rPr>
              <w:t>15.6. Priedas Nr. 6</w:t>
            </w:r>
          </w:p>
        </w:tc>
        <w:tc>
          <w:tcPr>
            <w:tcW w:w="6579" w:type="dxa"/>
            <w:gridSpan w:val="3"/>
            <w:tcBorders>
              <w:left w:val="single" w:sz="4" w:space="0" w:color="000000"/>
              <w:bottom w:val="single" w:sz="4" w:space="0" w:color="000000"/>
              <w:right w:val="single" w:sz="4" w:space="0" w:color="000000"/>
            </w:tcBorders>
          </w:tcPr>
          <w:p>
            <w:pPr>
              <w:pStyle w:val="Normal"/>
              <w:jc w:val="left"/>
              <w:rPr>
                <w:b/>
                <w:kern w:val="2"/>
                <w:szCs w:val="24"/>
              </w:rPr>
            </w:pPr>
            <w:r>
              <w:rPr>
                <w:b/>
                <w:kern w:val="2"/>
                <w:szCs w:val="24"/>
              </w:rPr>
              <w:t>Draudimo taisyklės Nr. (nurodyti Draudimo taisyklių Nr.).</w:t>
            </w:r>
          </w:p>
        </w:tc>
      </w:tr>
      <w:tr>
        <w:trPr/>
        <w:tc>
          <w:tcPr>
            <w:tcW w:w="9635"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412"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412"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412"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b w:val="false"/>
        <w:bCs/>
      </w:rPr>
    </w:pPr>
    <w:r>
      <w:rPr>
        <w:b w:val="false"/>
        <w:bCs/>
      </w:rPr>
      <w:t>Skelbiamos apklausos specialiųjų sąlygų 3 priedas</w:t>
    </w:r>
  </w:p>
  <w:p>
    <w:pPr>
      <w:pStyle w:val="Header"/>
      <w:jc w:val="right"/>
      <w:rPr>
        <w:b w:val="false"/>
        <w:bCs/>
      </w:rPr>
    </w:pPr>
    <w:r>
      <w:rPr>
        <w:b w:val="false"/>
        <w:bCs/>
      </w:rPr>
      <w:t>„</w:t>
    </w:r>
    <w:r>
      <w:rPr>
        <w:b w:val="false"/>
        <w:bCs/>
      </w:rPr>
      <w:t>Paslaugų teikimo sutarties specialiosios sąlygos“</w:t>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HeaderChar" w:customStyle="1">
    <w:name w:val="Header Char"/>
    <w:basedOn w:val="DefaultParagraphFont"/>
    <w:qFormat/>
    <w:rsid w:val="007a75c6"/>
    <w:rPr/>
  </w:style>
  <w:style w:type="character" w:styleId="FooterChar" w:customStyle="1">
    <w:name w:val="Footer Char"/>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Galinsinaosramenys">
    <w:name w:val="Galinės išnašos rašmenys"/>
    <w:qFormat/>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nhideWhenUsed/>
    <w:rsid w:val="007a75c6"/>
    <w:pPr>
      <w:tabs>
        <w:tab w:val="clear" w:pos="1296"/>
        <w:tab w:val="center" w:pos="4513" w:leader="none"/>
        <w:tab w:val="right" w:pos="9026" w:leader="none"/>
      </w:tabs>
    </w:pPr>
    <w:rPr/>
  </w:style>
  <w:style w:type="paragraph" w:styleId="Footer">
    <w:name w:val="footer"/>
    <w:basedOn w:val="Normal"/>
    <w:link w:val="FooterChar"/>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vmu.lt/wp-content/uploads/2021/08/Antikorupcine-politika.pdf" TargetMode="External"/><Relationship Id="rId4" Type="http://schemas.openxmlformats.org/officeDocument/2006/relationships/hyperlink" Target="https://vmu.lt/wp-content/uploads/2022/09/Dovanu-politika1.pdf" TargetMode="External"/><Relationship Id="rId5" Type="http://schemas.openxmlformats.org/officeDocument/2006/relationships/hyperlink" Target="https://vmu.lt/wp-content/uploads/2021/08/Interesu-konfliktu-vengimo-politik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74</TotalTime>
  <Application>LibreOffice/24.8.0.3$Windows_X86_64 LibreOffice_project/0bdf1299c94fe897b119f97f3c613e9dca6be583</Application>
  <AppVersion>15.0000</AppVersion>
  <Pages>8</Pages>
  <Words>1884</Words>
  <Characters>13689</Characters>
  <CharactersWithSpaces>15387</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2025-04-23T05:58:00Z</dcterms:created>
  <dc:creator/>
  <dc:description/>
  <dc:language>lt-LT</dc:language>
  <cp:lastModifiedBy/>
  <dcterms:modified xsi:type="dcterms:W3CDTF">2026-01-27T08:53:32Z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